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6EA9" w:rsidRDefault="00054A3B">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3GPP TSG RAN WG1 Meeting #9</w:t>
      </w:r>
      <w:r>
        <w:rPr>
          <w:rFonts w:ascii="Arial" w:hAnsi="Arial" w:cs="Arial" w:hint="eastAsia"/>
          <w:b/>
          <w:bCs/>
          <w:sz w:val="22"/>
        </w:rPr>
        <w:t>5</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r>
        <w:rPr>
          <w:rFonts w:ascii="Arial" w:hAnsi="Arial" w:cs="Arial" w:hint="eastAsia"/>
          <w:b/>
          <w:bCs/>
          <w:sz w:val="22"/>
          <w:lang w:val="en-GB"/>
        </w:rPr>
        <w:t xml:space="preserve">  </w:t>
      </w:r>
      <w:r>
        <w:rPr>
          <w:rFonts w:ascii="Arial" w:hAnsi="Arial" w:cs="Arial"/>
          <w:b/>
          <w:bCs/>
          <w:sz w:val="22"/>
          <w:lang w:val="en-GB"/>
        </w:rPr>
        <w:t xml:space="preserve">    </w:t>
      </w:r>
      <w:bookmarkStart w:id="0" w:name="OLE_LINK3"/>
      <w:r>
        <w:rPr>
          <w:rFonts w:ascii="Arial" w:hAnsi="Arial" w:cs="Arial" w:hint="eastAsia"/>
          <w:b/>
          <w:bCs/>
          <w:sz w:val="22"/>
          <w:lang w:val="en-GB"/>
        </w:rPr>
        <w:t xml:space="preserve">          </w:t>
      </w:r>
      <w:r>
        <w:rPr>
          <w:rFonts w:ascii="Arial" w:hAnsi="Arial" w:cs="Arial" w:hint="eastAsia"/>
          <w:b/>
          <w:bCs/>
          <w:sz w:val="22"/>
        </w:rPr>
        <w:t xml:space="preserve">          </w:t>
      </w:r>
      <w:r w:rsidR="006656D7">
        <w:rPr>
          <w:rFonts w:ascii="Arial" w:hAnsi="Arial" w:cs="Arial"/>
          <w:b/>
          <w:bCs/>
          <w:sz w:val="22"/>
        </w:rPr>
        <w:t xml:space="preserve">  </w:t>
      </w:r>
      <w:bookmarkStart w:id="1" w:name="_GoBack"/>
      <w:bookmarkEnd w:id="1"/>
      <w:r>
        <w:rPr>
          <w:rFonts w:ascii="Arial" w:hAnsi="Arial" w:cs="Arial" w:hint="eastAsia"/>
          <w:b/>
          <w:bCs/>
          <w:sz w:val="22"/>
          <w:lang w:val="en-GB"/>
        </w:rPr>
        <w:t>R1-18</w:t>
      </w:r>
      <w:bookmarkEnd w:id="0"/>
      <w:r w:rsidR="00365059">
        <w:rPr>
          <w:rFonts w:ascii="Arial" w:hAnsi="Arial" w:cs="Arial"/>
          <w:b/>
          <w:bCs/>
          <w:sz w:val="22"/>
          <w:lang w:val="en-GB"/>
        </w:rPr>
        <w:t>12897</w:t>
      </w:r>
    </w:p>
    <w:p w:rsidR="00B16EA9" w:rsidRDefault="00054A3B">
      <w:pPr>
        <w:widowControl w:val="0"/>
        <w:autoSpaceDE w:val="0"/>
        <w:autoSpaceDN w:val="0"/>
        <w:spacing w:line="240" w:lineRule="auto"/>
        <w:rPr>
          <w:rFonts w:ascii="Arial" w:hAnsi="Arial" w:cs="Arial"/>
          <w:b/>
          <w:bCs/>
          <w:sz w:val="22"/>
          <w:lang w:val="en-GB"/>
        </w:rPr>
      </w:pPr>
      <w:r>
        <w:rPr>
          <w:rFonts w:ascii="Arial" w:hAnsi="Arial" w:cs="Arial" w:hint="eastAsia"/>
          <w:b/>
          <w:bCs/>
          <w:sz w:val="22"/>
          <w:lang w:val="en-GB"/>
        </w:rPr>
        <w:t xml:space="preserve">Spokane, USA, November 12th </w:t>
      </w:r>
      <w:r w:rsidR="00C00D37">
        <w:rPr>
          <w:rFonts w:ascii="Arial" w:hAnsi="Arial" w:cs="Arial" w:hint="eastAsia"/>
          <w:b/>
          <w:bCs/>
          <w:sz w:val="22"/>
          <w:lang w:val="en-GB"/>
        </w:rPr>
        <w:t>-</w:t>
      </w:r>
      <w:r>
        <w:rPr>
          <w:rFonts w:ascii="Arial" w:hAnsi="Arial" w:cs="Arial" w:hint="eastAsia"/>
          <w:b/>
          <w:bCs/>
          <w:sz w:val="22"/>
          <w:lang w:val="en-GB"/>
        </w:rPr>
        <w:t xml:space="preserve"> 16th, 2018</w:t>
      </w:r>
    </w:p>
    <w:p w:rsidR="00B16EA9" w:rsidRDefault="00B16EA9">
      <w:pPr>
        <w:widowControl w:val="0"/>
        <w:autoSpaceDE w:val="0"/>
        <w:autoSpaceDN w:val="0"/>
        <w:spacing w:line="240" w:lineRule="auto"/>
        <w:rPr>
          <w:rFonts w:ascii="Arial" w:hAnsi="Arial" w:cs="Arial"/>
          <w:b/>
          <w:bCs/>
          <w:sz w:val="22"/>
          <w:lang w:val="en-GB"/>
        </w:rPr>
      </w:pPr>
    </w:p>
    <w:p w:rsidR="00B16EA9" w:rsidRDefault="00054A3B">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Source: </w:t>
      </w:r>
      <w:r>
        <w:rPr>
          <w:rFonts w:ascii="Arial" w:hAnsi="Arial" w:cs="Arial" w:hint="eastAsia"/>
          <w:b/>
          <w:bCs/>
          <w:sz w:val="22"/>
          <w:lang w:val="en-GB"/>
        </w:rPr>
        <w:t xml:space="preserve">   </w:t>
      </w:r>
      <w:r>
        <w:rPr>
          <w:rFonts w:ascii="Arial" w:hAnsi="Arial" w:cs="Arial" w:hint="eastAsia"/>
          <w:b/>
          <w:bCs/>
          <w:sz w:val="22"/>
        </w:rPr>
        <w:t xml:space="preserve">    </w:t>
      </w:r>
      <w:r>
        <w:rPr>
          <w:rFonts w:ascii="Arial" w:hAnsi="Arial" w:cs="Arial"/>
          <w:b/>
          <w:bCs/>
          <w:sz w:val="22"/>
          <w:lang w:val="en-GB"/>
        </w:rPr>
        <w:t>ZTE</w:t>
      </w:r>
    </w:p>
    <w:p w:rsidR="00B16EA9" w:rsidRDefault="00054A3B">
      <w:pPr>
        <w:widowControl w:val="0"/>
        <w:autoSpaceDE w:val="0"/>
        <w:autoSpaceDN w:val="0"/>
        <w:spacing w:line="240" w:lineRule="auto"/>
        <w:ind w:left="1698" w:hangingChars="769" w:hanging="1698"/>
        <w:rPr>
          <w:rFonts w:ascii="Arial" w:hAnsi="Arial" w:cs="Arial"/>
          <w:b/>
          <w:bCs/>
          <w:sz w:val="22"/>
          <w:lang w:val="en-GB"/>
        </w:rPr>
      </w:pPr>
      <w:r>
        <w:rPr>
          <w:rFonts w:ascii="Arial" w:hAnsi="Arial" w:cs="Arial"/>
          <w:b/>
          <w:bCs/>
          <w:sz w:val="22"/>
          <w:lang w:val="en-GB"/>
        </w:rPr>
        <w:t xml:space="preserve">Title: </w:t>
      </w:r>
      <w:r>
        <w:rPr>
          <w:rFonts w:ascii="Arial" w:hAnsi="Arial" w:cs="Arial" w:hint="eastAsia"/>
          <w:b/>
          <w:bCs/>
          <w:sz w:val="22"/>
          <w:lang w:val="en-GB"/>
        </w:rPr>
        <w:t xml:space="preserve">        </w:t>
      </w:r>
      <w:r>
        <w:rPr>
          <w:rFonts w:ascii="Arial" w:hAnsi="Arial" w:cs="Arial" w:hint="eastAsia"/>
          <w:b/>
          <w:bCs/>
          <w:sz w:val="22"/>
        </w:rPr>
        <w:tab/>
      </w:r>
      <w:r>
        <w:rPr>
          <w:rFonts w:ascii="Arial" w:hAnsi="Arial" w:cs="Arial" w:hint="eastAsia"/>
          <w:b/>
          <w:bCs/>
          <w:sz w:val="22"/>
          <w:lang w:val="en-GB"/>
        </w:rPr>
        <w:t>Maintenance for Mobility procedure</w:t>
      </w:r>
    </w:p>
    <w:p w:rsidR="00B16EA9" w:rsidRDefault="00054A3B">
      <w:pPr>
        <w:widowControl w:val="0"/>
        <w:autoSpaceDE w:val="0"/>
        <w:autoSpaceDN w:val="0"/>
        <w:spacing w:line="240" w:lineRule="auto"/>
        <w:rPr>
          <w:rFonts w:ascii="Arial" w:hAnsi="Arial" w:cs="Arial"/>
          <w:b/>
          <w:bCs/>
          <w:sz w:val="22"/>
          <w:lang w:val="en-GB"/>
        </w:rPr>
      </w:pPr>
      <w:r>
        <w:rPr>
          <w:rFonts w:ascii="Arial" w:hAnsi="Arial" w:cs="Arial"/>
          <w:b/>
          <w:bCs/>
          <w:sz w:val="22"/>
          <w:lang w:val="en-GB"/>
        </w:rPr>
        <w:t>Agenda Item:</w:t>
      </w:r>
      <w:bookmarkStart w:id="2" w:name="Source"/>
      <w:bookmarkEnd w:id="2"/>
      <w:r>
        <w:rPr>
          <w:rFonts w:ascii="Arial" w:hAnsi="Arial" w:cs="Arial" w:hint="eastAsia"/>
          <w:b/>
          <w:bCs/>
          <w:sz w:val="22"/>
          <w:lang w:val="en-GB"/>
        </w:rPr>
        <w:t xml:space="preserve">  </w:t>
      </w:r>
      <w:r>
        <w:rPr>
          <w:rFonts w:ascii="Arial" w:hAnsi="Arial" w:cs="Arial" w:hint="eastAsia"/>
          <w:b/>
          <w:bCs/>
          <w:sz w:val="22"/>
        </w:rPr>
        <w:tab/>
        <w:t>7.1.1.3</w:t>
      </w:r>
    </w:p>
    <w:p w:rsidR="00B16EA9" w:rsidRDefault="00054A3B">
      <w:pPr>
        <w:rPr>
          <w:rFonts w:ascii="Arial" w:hAnsi="Arial" w:cs="Arial"/>
          <w:b/>
          <w:sz w:val="22"/>
        </w:rPr>
      </w:pPr>
      <w:r>
        <w:rPr>
          <w:rFonts w:ascii="Arial" w:hAnsi="Arial" w:cs="Arial"/>
          <w:b/>
          <w:sz w:val="22"/>
        </w:rPr>
        <w:t>Document for:</w:t>
      </w:r>
      <w:bookmarkStart w:id="3" w:name="DocumentFor"/>
      <w:bookmarkEnd w:id="3"/>
      <w:r>
        <w:rPr>
          <w:rFonts w:ascii="Arial" w:hAnsi="Arial" w:cs="Arial"/>
          <w:b/>
          <w:sz w:val="22"/>
        </w:rPr>
        <w:t xml:space="preserve"> </w:t>
      </w:r>
      <w:r>
        <w:rPr>
          <w:rFonts w:ascii="Arial" w:hAnsi="Arial" w:cs="Arial" w:hint="eastAsia"/>
          <w:b/>
          <w:sz w:val="22"/>
        </w:rPr>
        <w:tab/>
      </w:r>
      <w:r>
        <w:rPr>
          <w:rFonts w:ascii="Arial" w:hAnsi="Arial" w:cs="Arial"/>
          <w:b/>
          <w:sz w:val="22"/>
        </w:rPr>
        <w:t>Discussion and Decision</w:t>
      </w:r>
    </w:p>
    <w:p w:rsidR="00B16EA9" w:rsidRDefault="00054A3B">
      <w:pPr>
        <w:pStyle w:val="1"/>
      </w:pPr>
      <w:r>
        <w:t>Introduction</w:t>
      </w:r>
    </w:p>
    <w:p w:rsidR="00B16EA9" w:rsidRDefault="00054A3B">
      <w:pPr>
        <w:adjustRightInd/>
        <w:snapToGrid w:val="0"/>
        <w:spacing w:before="240" w:after="120"/>
        <w:jc w:val="both"/>
        <w:rPr>
          <w:sz w:val="20"/>
          <w:szCs w:val="20"/>
        </w:rPr>
      </w:pPr>
      <w:r>
        <w:rPr>
          <w:rFonts w:hint="eastAsia"/>
          <w:sz w:val="20"/>
          <w:szCs w:val="20"/>
        </w:rPr>
        <w:t xml:space="preserve">In this contribution, </w:t>
      </w:r>
      <w:r>
        <w:rPr>
          <w:sz w:val="20"/>
          <w:szCs w:val="20"/>
        </w:rPr>
        <w:t xml:space="preserve">we discuss </w:t>
      </w:r>
      <w:r>
        <w:rPr>
          <w:rFonts w:hint="eastAsia"/>
          <w:sz w:val="20"/>
          <w:szCs w:val="20"/>
        </w:rPr>
        <w:t>the remaining details of mobility management for NR</w:t>
      </w:r>
      <w:r w:rsidR="0097126E">
        <w:rPr>
          <w:sz w:val="20"/>
          <w:szCs w:val="20"/>
        </w:rPr>
        <w:t xml:space="preserve"> and propose a draft CR</w:t>
      </w:r>
      <w:r>
        <w:rPr>
          <w:rFonts w:hint="eastAsia"/>
          <w:sz w:val="20"/>
          <w:szCs w:val="20"/>
        </w:rPr>
        <w:t>.</w:t>
      </w:r>
    </w:p>
    <w:p w:rsidR="00B16EA9" w:rsidRDefault="00054A3B">
      <w:pPr>
        <w:pStyle w:val="1"/>
        <w:rPr>
          <w:lang w:val="en-US" w:eastAsia="zh-CN"/>
        </w:rPr>
      </w:pPr>
      <w:r>
        <w:rPr>
          <w:rFonts w:hint="eastAsia"/>
          <w:lang w:val="en-US" w:eastAsia="zh-CN"/>
        </w:rPr>
        <w:t>RLM</w:t>
      </w:r>
    </w:p>
    <w:p w:rsidR="00B16EA9" w:rsidRDefault="00054A3B">
      <w:pPr>
        <w:adjustRightInd/>
        <w:snapToGrid w:val="0"/>
        <w:spacing w:after="120"/>
        <w:jc w:val="both"/>
        <w:rPr>
          <w:sz w:val="20"/>
          <w:szCs w:val="20"/>
        </w:rPr>
      </w:pPr>
      <w:r>
        <w:rPr>
          <w:rFonts w:hint="eastAsia"/>
          <w:sz w:val="20"/>
          <w:szCs w:val="20"/>
        </w:rPr>
        <w:t>For RLM, it is agreed that RLM-RS can be configured explicitly by RRC signaling</w:t>
      </w:r>
      <w:r>
        <w:rPr>
          <w:rFonts w:hint="eastAsia"/>
          <w:i/>
        </w:rPr>
        <w:t xml:space="preserve"> </w:t>
      </w:r>
      <w:r>
        <w:rPr>
          <w:rFonts w:hint="eastAsia"/>
          <w:i/>
          <w:iCs/>
          <w:sz w:val="20"/>
          <w:szCs w:val="20"/>
        </w:rPr>
        <w:t>RadioLinkMonitoringRS</w:t>
      </w:r>
      <w:r>
        <w:rPr>
          <w:rFonts w:hint="eastAsia"/>
          <w:sz w:val="20"/>
          <w:szCs w:val="20"/>
        </w:rPr>
        <w:t xml:space="preserve"> or implicitly by TCI state for PDCCH reception. In MIMO session</w:t>
      </w:r>
      <w:r w:rsidR="0097126E">
        <w:rPr>
          <w:sz w:val="20"/>
          <w:szCs w:val="20"/>
        </w:rPr>
        <w:t xml:space="preserve"> discussion</w:t>
      </w:r>
      <w:r>
        <w:rPr>
          <w:rFonts w:hint="eastAsia"/>
          <w:sz w:val="20"/>
          <w:szCs w:val="20"/>
        </w:rPr>
        <w:t xml:space="preserve">, </w:t>
      </w:r>
      <w:r w:rsidR="00D8342E">
        <w:rPr>
          <w:sz w:val="20"/>
          <w:szCs w:val="20"/>
        </w:rPr>
        <w:t xml:space="preserve">for the DM-RS of PDCCH, </w:t>
      </w:r>
      <w:r>
        <w:rPr>
          <w:rFonts w:hint="eastAsia"/>
          <w:sz w:val="20"/>
          <w:szCs w:val="20"/>
        </w:rPr>
        <w:t xml:space="preserve">it is agreed that only CSI-RS can be QCL-ed </w:t>
      </w:r>
      <w:r w:rsidR="00D8342E">
        <w:rPr>
          <w:sz w:val="20"/>
          <w:szCs w:val="20"/>
        </w:rPr>
        <w:t xml:space="preserve">indicated by a </w:t>
      </w:r>
      <w:r w:rsidR="00D8342E" w:rsidRPr="00D8342E">
        <w:rPr>
          <w:i/>
          <w:sz w:val="20"/>
          <w:szCs w:val="20"/>
        </w:rPr>
        <w:t>TCI-State</w:t>
      </w:r>
      <w:r>
        <w:rPr>
          <w:rFonts w:hint="eastAsia"/>
          <w:sz w:val="20"/>
          <w:szCs w:val="20"/>
        </w:rPr>
        <w:t xml:space="preserve">. The corresponding description has been captured in </w:t>
      </w:r>
      <w:r w:rsidR="0097126E">
        <w:rPr>
          <w:sz w:val="20"/>
          <w:szCs w:val="20"/>
        </w:rPr>
        <w:t xml:space="preserve">draft CR of </w:t>
      </w:r>
      <w:r>
        <w:rPr>
          <w:rFonts w:hint="eastAsia"/>
          <w:sz w:val="20"/>
          <w:szCs w:val="20"/>
        </w:rPr>
        <w:t>TS 38.214</w:t>
      </w:r>
      <w:r w:rsidR="0097126E">
        <w:rPr>
          <w:rFonts w:hint="eastAsia"/>
          <w:sz w:val="20"/>
          <w:szCs w:val="20"/>
        </w:rPr>
        <w:t>[1]</w:t>
      </w:r>
      <w:r>
        <w:rPr>
          <w:rFonts w:hint="eastAsia"/>
          <w:sz w:val="20"/>
          <w:szCs w:val="20"/>
        </w:rPr>
        <w:t xml:space="preserve"> as below. That is to say, the RLM-RS implicitly configured for UE by </w:t>
      </w:r>
      <w:r w:rsidR="00D8342E" w:rsidRPr="00D8342E">
        <w:rPr>
          <w:i/>
          <w:sz w:val="20"/>
          <w:szCs w:val="20"/>
        </w:rPr>
        <w:t>TCI-State</w:t>
      </w:r>
      <w:r>
        <w:rPr>
          <w:rFonts w:hint="eastAsia"/>
          <w:sz w:val="20"/>
          <w:szCs w:val="20"/>
        </w:rPr>
        <w:t xml:space="preserve"> can only be CSI-RS</w:t>
      </w:r>
      <w:r w:rsidR="0097126E">
        <w:rPr>
          <w:sz w:val="20"/>
          <w:szCs w:val="20"/>
        </w:rPr>
        <w:t xml:space="preserve"> but not SSB</w:t>
      </w:r>
      <w:r>
        <w:rPr>
          <w:rFonts w:hint="eastAsia"/>
          <w:sz w:val="20"/>
          <w:szCs w:val="20"/>
        </w:rPr>
        <w:t xml:space="preserve">. To align with </w:t>
      </w:r>
      <w:r w:rsidR="0097126E">
        <w:rPr>
          <w:sz w:val="20"/>
          <w:szCs w:val="20"/>
        </w:rPr>
        <w:t xml:space="preserve">the </w:t>
      </w:r>
      <w:r>
        <w:rPr>
          <w:rFonts w:hint="eastAsia"/>
          <w:sz w:val="20"/>
          <w:szCs w:val="20"/>
        </w:rPr>
        <w:t xml:space="preserve">agreement and avoid </w:t>
      </w:r>
      <w:r w:rsidR="0097126E">
        <w:rPr>
          <w:sz w:val="20"/>
          <w:szCs w:val="20"/>
        </w:rPr>
        <w:t>incorrect understanding</w:t>
      </w:r>
      <w:r>
        <w:rPr>
          <w:rFonts w:hint="eastAsia"/>
          <w:sz w:val="20"/>
          <w:szCs w:val="20"/>
        </w:rPr>
        <w:t xml:space="preserve">, an update </w:t>
      </w:r>
      <w:r w:rsidR="00D8342E">
        <w:rPr>
          <w:sz w:val="20"/>
          <w:szCs w:val="20"/>
        </w:rPr>
        <w:t>to</w:t>
      </w:r>
      <w:r>
        <w:rPr>
          <w:rFonts w:hint="eastAsia"/>
          <w:sz w:val="20"/>
          <w:szCs w:val="20"/>
        </w:rPr>
        <w:t xml:space="preserve"> TS 38.213 should be necessary.</w:t>
      </w:r>
    </w:p>
    <w:tbl>
      <w:tblPr>
        <w:tblStyle w:val="ac"/>
        <w:tblW w:w="9242" w:type="dxa"/>
        <w:tblLayout w:type="fixed"/>
        <w:tblLook w:val="04A0" w:firstRow="1" w:lastRow="0" w:firstColumn="1" w:lastColumn="0" w:noHBand="0" w:noVBand="1"/>
      </w:tblPr>
      <w:tblGrid>
        <w:gridCol w:w="9242"/>
      </w:tblGrid>
      <w:tr w:rsidR="00B16EA9">
        <w:tc>
          <w:tcPr>
            <w:tcW w:w="9242" w:type="dxa"/>
          </w:tcPr>
          <w:p w:rsidR="00B16EA9" w:rsidRDefault="00054A3B">
            <w:r>
              <w:t xml:space="preserve">For the DM-RS of PDCCH, the UE shall expect that a </w:t>
            </w:r>
            <w:r>
              <w:rPr>
                <w:i/>
              </w:rPr>
              <w:t>TCI-State</w:t>
            </w:r>
            <w:r>
              <w:t xml:space="preserve"> indicates one of the following quasi co-location type(s):</w:t>
            </w:r>
          </w:p>
          <w:p w:rsidR="00B16EA9" w:rsidRDefault="00054A3B">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lang w:val="en-GB"/>
              </w:rPr>
              <w:t>trs</w:t>
            </w:r>
            <w:r>
              <w:rPr>
                <w:i/>
              </w:rPr>
              <w:t>-Info</w:t>
            </w:r>
            <w:r>
              <w:rPr>
                <w:i/>
                <w:lang w:val="en-GB"/>
              </w:rPr>
              <w:t xml:space="preserve"> </w:t>
            </w:r>
            <w:r>
              <w:rPr>
                <w:lang w:val="en-GB"/>
              </w:rPr>
              <w:t>and, when applicable,</w:t>
            </w:r>
            <w:r>
              <w:t xml:space="preserve"> 'QCL-TypeD' with the same CSI-RS resource,</w:t>
            </w:r>
            <w:r>
              <w:rPr>
                <w:lang w:val="en-GB"/>
              </w:rPr>
              <w:t xml:space="preserve"> </w:t>
            </w:r>
            <w:r>
              <w:t>or</w:t>
            </w:r>
          </w:p>
          <w:p w:rsidR="00B16EA9" w:rsidRDefault="00054A3B">
            <w:pPr>
              <w:pStyle w:val="B1"/>
            </w:pPr>
            <w:r>
              <w:t>-</w:t>
            </w:r>
            <w:r>
              <w:tab/>
            </w:r>
            <w:r>
              <w:rPr>
                <w:color w:val="000000"/>
              </w:rPr>
              <w:t>'</w:t>
            </w:r>
            <w:r>
              <w:t xml:space="preserve">QCL-TypeA' with a CSI-RS resource in a </w:t>
            </w:r>
            <w:r>
              <w:rPr>
                <w:i/>
                <w:color w:val="000000"/>
              </w:rPr>
              <w:t>NZP-CSI-RS-ResourceSet</w:t>
            </w:r>
            <w:r>
              <w:t xml:space="preserve"> configured with higher layer parameter </w:t>
            </w:r>
            <w:r>
              <w:rPr>
                <w:i/>
                <w:color w:val="000000"/>
              </w:rPr>
              <w:t>trs-Info</w:t>
            </w:r>
            <w:r>
              <w:rPr>
                <w:color w:val="000000"/>
              </w:rPr>
              <w:t xml:space="preserve"> and, when applicable, </w:t>
            </w:r>
            <w:r>
              <w:t xml:space="preserve">'QCL-TypeD' with a CSI-RS resource in an </w:t>
            </w:r>
            <w:r>
              <w:rPr>
                <w:i/>
                <w:lang w:val="en-GB"/>
              </w:rPr>
              <w:t>NZP-CSI-RS-ResourceSet</w:t>
            </w:r>
            <w:r>
              <w:t xml:space="preserve"> configured with higher layer parameter </w:t>
            </w:r>
            <w:r>
              <w:rPr>
                <w:i/>
                <w:lang w:val="en-GB"/>
              </w:rPr>
              <w:t>repetition</w:t>
            </w:r>
            <w:r>
              <w:rPr>
                <w:lang w:val="en-GB"/>
              </w:rPr>
              <w:t>, or</w:t>
            </w:r>
          </w:p>
          <w:p w:rsidR="00B16EA9" w:rsidRDefault="00054A3B">
            <w:pPr>
              <w:pStyle w:val="B1"/>
              <w:rPr>
                <w:sz w:val="20"/>
                <w:szCs w:val="20"/>
              </w:rPr>
            </w:pPr>
            <w:r>
              <w:t>-</w:t>
            </w:r>
            <w:r>
              <w:tab/>
            </w:r>
            <w:r>
              <w:rPr>
                <w:color w:val="000000"/>
              </w:rPr>
              <w:t>'</w:t>
            </w:r>
            <w:r>
              <w:t>QCL-Type</w:t>
            </w:r>
            <w:r>
              <w:rPr>
                <w:lang w:val="en-GB"/>
              </w:rPr>
              <w:t>A</w:t>
            </w:r>
            <w:r>
              <w:t xml:space="preserve">' with a CSI-RS resource in a </w:t>
            </w:r>
            <w:r>
              <w:rPr>
                <w:i/>
                <w:color w:val="000000"/>
              </w:rPr>
              <w:t>NZP-CSI-RS-ResourceSet</w:t>
            </w:r>
            <w:r>
              <w:t xml:space="preserve"> configured with</w:t>
            </w:r>
            <w:r>
              <w:rPr>
                <w:lang w:val="en-GB"/>
              </w:rPr>
              <w:t>out</w:t>
            </w:r>
            <w:r>
              <w:t xml:space="preserve"> higher layer parameter </w:t>
            </w:r>
            <w:r>
              <w:rPr>
                <w:i/>
              </w:rPr>
              <w:t>trs-Info</w:t>
            </w:r>
            <w:r>
              <w:t xml:space="preserve"> and without higher layer parameter </w:t>
            </w:r>
            <w:r>
              <w:rPr>
                <w:i/>
                <w:lang w:val="en-GB"/>
              </w:rPr>
              <w:t>r</w:t>
            </w:r>
            <w:r>
              <w:rPr>
                <w:i/>
              </w:rPr>
              <w:t>epetition</w:t>
            </w:r>
            <w:r>
              <w:rPr>
                <w:i/>
                <w:lang w:val="en-GB"/>
              </w:rPr>
              <w:t xml:space="preserve"> </w:t>
            </w:r>
            <w:r>
              <w:rPr>
                <w:lang w:val="en-GB"/>
              </w:rPr>
              <w:t>and</w:t>
            </w:r>
            <w:r>
              <w:rPr>
                <w:i/>
              </w:rPr>
              <w:t xml:space="preserve">, </w:t>
            </w:r>
            <w:r>
              <w:rPr>
                <w:color w:val="000000"/>
              </w:rPr>
              <w:t xml:space="preserve">when </w:t>
            </w:r>
            <w:r>
              <w:rPr>
                <w:color w:val="000000"/>
                <w:lang w:val="en-GB"/>
              </w:rPr>
              <w:t xml:space="preserve">applicable, </w:t>
            </w:r>
            <w:r>
              <w:rPr>
                <w:color w:val="000000"/>
              </w:rPr>
              <w:t xml:space="preserve">'QCL-TypeD' </w:t>
            </w:r>
            <w:r>
              <w:rPr>
                <w:color w:val="000000"/>
                <w:lang w:val="en-GB"/>
              </w:rPr>
              <w:t>with the same CSI-RS resource</w:t>
            </w:r>
            <w:r>
              <w:rPr>
                <w:color w:val="000000"/>
              </w:rPr>
              <w:t>.</w:t>
            </w:r>
          </w:p>
        </w:tc>
      </w:tr>
    </w:tbl>
    <w:p w:rsidR="00D8342E" w:rsidRDefault="00D8342E">
      <w:pPr>
        <w:adjustRightInd/>
        <w:snapToGrid w:val="0"/>
        <w:spacing w:after="120"/>
        <w:jc w:val="both"/>
        <w:rPr>
          <w:b/>
          <w:i/>
          <w:sz w:val="20"/>
          <w:szCs w:val="20"/>
        </w:rPr>
      </w:pPr>
    </w:p>
    <w:p w:rsidR="00B16EA9" w:rsidRDefault="00054A3B">
      <w:pPr>
        <w:adjustRightInd/>
        <w:snapToGrid w:val="0"/>
        <w:spacing w:after="120"/>
        <w:jc w:val="both"/>
        <w:rPr>
          <w:sz w:val="20"/>
          <w:szCs w:val="20"/>
        </w:rPr>
      </w:pPr>
      <w:r>
        <w:rPr>
          <w:rFonts w:hint="eastAsia"/>
          <w:b/>
          <w:i/>
          <w:sz w:val="20"/>
          <w:szCs w:val="20"/>
        </w:rPr>
        <w:t xml:space="preserve">Proposal 1: To align with agreement and avoid </w:t>
      </w:r>
      <w:r w:rsidR="004A0046">
        <w:rPr>
          <w:b/>
          <w:i/>
          <w:sz w:val="20"/>
          <w:szCs w:val="20"/>
        </w:rPr>
        <w:t xml:space="preserve">incorrect </w:t>
      </w:r>
      <w:r>
        <w:rPr>
          <w:rFonts w:hint="eastAsia"/>
          <w:b/>
          <w:i/>
          <w:sz w:val="20"/>
          <w:szCs w:val="20"/>
        </w:rPr>
        <w:t xml:space="preserve">understanding, a </w:t>
      </w:r>
      <w:r w:rsidR="0097126E">
        <w:rPr>
          <w:b/>
          <w:i/>
          <w:sz w:val="20"/>
          <w:szCs w:val="20"/>
        </w:rPr>
        <w:t xml:space="preserve">draft </w:t>
      </w:r>
      <w:r>
        <w:rPr>
          <w:rFonts w:hint="eastAsia"/>
          <w:b/>
          <w:i/>
          <w:sz w:val="20"/>
          <w:szCs w:val="20"/>
        </w:rPr>
        <w:t xml:space="preserve">CR </w:t>
      </w:r>
      <w:r w:rsidR="0097126E">
        <w:rPr>
          <w:b/>
          <w:i/>
          <w:sz w:val="20"/>
          <w:szCs w:val="20"/>
        </w:rPr>
        <w:t>to</w:t>
      </w:r>
      <w:r>
        <w:rPr>
          <w:rFonts w:hint="eastAsia"/>
          <w:b/>
          <w:i/>
          <w:sz w:val="20"/>
          <w:szCs w:val="20"/>
        </w:rPr>
        <w:t xml:space="preserve"> TS 38.213 is proposed. </w:t>
      </w:r>
    </w:p>
    <w:p w:rsidR="00C709EE" w:rsidRPr="002A34AF" w:rsidRDefault="00C709EE" w:rsidP="00C709EE">
      <w:pPr>
        <w:snapToGrid w:val="0"/>
        <w:rPr>
          <w:b/>
          <w:color w:val="FF0000"/>
        </w:rPr>
      </w:pPr>
      <w:r w:rsidRPr="002A34AF">
        <w:rPr>
          <w:b/>
          <w:color w:val="FF0000"/>
        </w:rPr>
        <w:t>---------</w:t>
      </w:r>
      <w:r>
        <w:rPr>
          <w:b/>
          <w:color w:val="FF0000"/>
        </w:rPr>
        <w:t>-------------------------------------------</w:t>
      </w:r>
      <w:r w:rsidRPr="002A34AF">
        <w:rPr>
          <w:b/>
          <w:color w:val="FF0000"/>
        </w:rPr>
        <w:t>--</w:t>
      </w:r>
      <w:r>
        <w:rPr>
          <w:b/>
          <w:color w:val="FF0000"/>
        </w:rPr>
        <w:t>Draft CR</w:t>
      </w:r>
      <w:r w:rsidRPr="002A34AF">
        <w:rPr>
          <w:b/>
          <w:color w:val="FF0000"/>
        </w:rPr>
        <w:t>--------</w:t>
      </w:r>
      <w:r>
        <w:rPr>
          <w:b/>
          <w:color w:val="FF0000"/>
        </w:rPr>
        <w:t>-------------------------------------------------</w:t>
      </w:r>
    </w:p>
    <w:p w:rsidR="00C709EE" w:rsidRDefault="00C709EE" w:rsidP="00C709EE">
      <w:pPr>
        <w:rPr>
          <w:b/>
        </w:rPr>
      </w:pPr>
      <w:r w:rsidRPr="002A34AF">
        <w:rPr>
          <w:rFonts w:hint="eastAsia"/>
          <w:b/>
          <w:color w:val="FF0000"/>
        </w:rPr>
        <w:t>3</w:t>
      </w:r>
      <w:r w:rsidRPr="002A34AF">
        <w:rPr>
          <w:b/>
          <w:color w:val="FF0000"/>
        </w:rPr>
        <w:t xml:space="preserve">8.213 Section </w:t>
      </w:r>
      <w:r>
        <w:rPr>
          <w:b/>
          <w:color w:val="FF0000"/>
        </w:rPr>
        <w:t>5</w:t>
      </w:r>
    </w:p>
    <w:tbl>
      <w:tblPr>
        <w:tblStyle w:val="ac"/>
        <w:tblW w:w="0" w:type="auto"/>
        <w:tblLook w:val="04A0" w:firstRow="1" w:lastRow="0" w:firstColumn="1" w:lastColumn="0" w:noHBand="0" w:noVBand="1"/>
      </w:tblPr>
      <w:tblGrid>
        <w:gridCol w:w="9242"/>
      </w:tblGrid>
      <w:tr w:rsidR="00C709EE" w:rsidTr="009961E9">
        <w:tc>
          <w:tcPr>
            <w:tcW w:w="9242" w:type="dxa"/>
          </w:tcPr>
          <w:p w:rsidR="00C709EE" w:rsidRDefault="00C709EE" w:rsidP="00C709EE">
            <w:r>
              <w:t>If the UE is not provided</w:t>
            </w:r>
            <w:r>
              <w:rPr>
                <w:iCs/>
              </w:rPr>
              <w:t xml:space="preserve"> </w:t>
            </w:r>
            <w:r>
              <w:rPr>
                <w:i/>
              </w:rPr>
              <w:t>RadioLinkMonitoringRS</w:t>
            </w:r>
            <w:r>
              <w:rPr>
                <w:iCs/>
              </w:rPr>
              <w:t xml:space="preserve"> and the UE is provided for PDCCH receptions TCI states that include one or more of a CSI-RS</w:t>
            </w:r>
            <w:r>
              <w:rPr>
                <w:strike/>
                <w:color w:val="FF0000"/>
              </w:rPr>
              <w:t xml:space="preserve"> and/or a SS/PBCH block indexes</w:t>
            </w:r>
            <w:r>
              <w:rPr>
                <w:rFonts w:hint="eastAsia"/>
              </w:rPr>
              <w:t>.</w:t>
            </w:r>
          </w:p>
          <w:p w:rsidR="00C709EE" w:rsidRDefault="00C709EE" w:rsidP="00C709EE">
            <w:pPr>
              <w:ind w:leftChars="203" w:left="707" w:hangingChars="134" w:hanging="281"/>
              <w:rPr>
                <w:b/>
              </w:rPr>
            </w:pPr>
            <w:r>
              <w:rPr>
                <w:lang w:eastAsia="ja-JP"/>
              </w:rPr>
              <w:t>-</w:t>
            </w:r>
            <w:r>
              <w:rPr>
                <w:lang w:eastAsia="ja-JP"/>
              </w:rPr>
              <w:tab/>
            </w:r>
            <w:r>
              <w:rPr>
                <w:rFonts w:hint="eastAsia"/>
                <w:lang w:eastAsia="ja-JP"/>
              </w:rPr>
              <w:t xml:space="preserve">the </w:t>
            </w:r>
            <w:r>
              <w:rPr>
                <w:lang w:eastAsia="ja-JP"/>
              </w:rPr>
              <w:t>UE uses for radio link monitoring the RS provided for the active TCI state for PDCCH reception if the active TCI state for PDCCH reception includes only one RS</w:t>
            </w:r>
          </w:p>
        </w:tc>
      </w:tr>
    </w:tbl>
    <w:p w:rsidR="0097126E" w:rsidRDefault="00C709EE">
      <w:pPr>
        <w:adjustRightInd/>
        <w:snapToGrid w:val="0"/>
        <w:spacing w:after="120"/>
        <w:jc w:val="both"/>
        <w:rPr>
          <w:sz w:val="20"/>
          <w:szCs w:val="20"/>
        </w:rPr>
      </w:pPr>
      <w:r w:rsidRPr="002A34AF">
        <w:rPr>
          <w:b/>
          <w:color w:val="FF0000"/>
        </w:rPr>
        <w:lastRenderedPageBreak/>
        <w:t>----------</w:t>
      </w:r>
      <w:r>
        <w:rPr>
          <w:b/>
          <w:color w:val="FF0000"/>
        </w:rPr>
        <w:t>---------------------------------------</w:t>
      </w:r>
      <w:r w:rsidRPr="002A34AF">
        <w:rPr>
          <w:b/>
          <w:color w:val="FF0000"/>
        </w:rPr>
        <w:t xml:space="preserve">-End of </w:t>
      </w:r>
      <w:r>
        <w:rPr>
          <w:b/>
          <w:color w:val="FF0000"/>
        </w:rPr>
        <w:t>Draft CR</w:t>
      </w:r>
      <w:r w:rsidRPr="002A34AF">
        <w:rPr>
          <w:b/>
          <w:color w:val="FF0000"/>
        </w:rPr>
        <w:t>-----</w:t>
      </w:r>
      <w:r>
        <w:rPr>
          <w:b/>
          <w:color w:val="FF0000"/>
        </w:rPr>
        <w:t>-------------------------------------------</w:t>
      </w:r>
      <w:r w:rsidRPr="002A34AF">
        <w:rPr>
          <w:b/>
          <w:color w:val="FF0000"/>
        </w:rPr>
        <w:t>---</w:t>
      </w:r>
    </w:p>
    <w:p w:rsidR="00B16EA9" w:rsidRDefault="00054A3B">
      <w:pPr>
        <w:adjustRightInd/>
        <w:snapToGrid w:val="0"/>
        <w:spacing w:after="120"/>
        <w:jc w:val="both"/>
        <w:rPr>
          <w:sz w:val="20"/>
          <w:szCs w:val="20"/>
        </w:rPr>
      </w:pPr>
      <w:r>
        <w:rPr>
          <w:rFonts w:hint="eastAsia"/>
          <w:sz w:val="20"/>
          <w:szCs w:val="20"/>
        </w:rPr>
        <w:t>In RAN1 #94b</w:t>
      </w:r>
      <w:r w:rsidR="00B15D97">
        <w:rPr>
          <w:sz w:val="20"/>
          <w:szCs w:val="20"/>
        </w:rPr>
        <w:t>is</w:t>
      </w:r>
      <w:r>
        <w:rPr>
          <w:rFonts w:hint="eastAsia"/>
          <w:sz w:val="20"/>
          <w:szCs w:val="20"/>
        </w:rPr>
        <w:t xml:space="preserve">, two cases </w:t>
      </w:r>
      <w:r w:rsidR="00B15D97">
        <w:rPr>
          <w:sz w:val="20"/>
          <w:szCs w:val="20"/>
        </w:rPr>
        <w:t>which</w:t>
      </w:r>
      <w:r>
        <w:rPr>
          <w:rFonts w:hint="eastAsia"/>
          <w:sz w:val="20"/>
          <w:szCs w:val="20"/>
        </w:rPr>
        <w:t xml:space="preserve"> neither RRC signaling </w:t>
      </w:r>
      <w:bookmarkStart w:id="4" w:name="OLE_LINK2"/>
      <w:bookmarkStart w:id="5" w:name="OLE_LINK1"/>
      <w:r>
        <w:rPr>
          <w:rFonts w:hint="eastAsia"/>
          <w:i/>
          <w:iCs/>
          <w:sz w:val="20"/>
          <w:szCs w:val="20"/>
        </w:rPr>
        <w:t>RadioLinkMonitoringRS</w:t>
      </w:r>
      <w:bookmarkEnd w:id="4"/>
      <w:r>
        <w:rPr>
          <w:rFonts w:hint="eastAsia"/>
          <w:sz w:val="20"/>
          <w:szCs w:val="20"/>
        </w:rPr>
        <w:t xml:space="preserve"> </w:t>
      </w:r>
      <w:bookmarkEnd w:id="5"/>
      <w:r>
        <w:rPr>
          <w:rFonts w:hint="eastAsia"/>
          <w:sz w:val="20"/>
          <w:szCs w:val="20"/>
        </w:rPr>
        <w:t>nor TCI state for PDCCH reception c</w:t>
      </w:r>
      <w:r w:rsidR="00B15D97">
        <w:rPr>
          <w:rFonts w:hint="eastAsia"/>
          <w:sz w:val="20"/>
          <w:szCs w:val="20"/>
        </w:rPr>
        <w:t xml:space="preserve">onfigured for UE were discussed </w:t>
      </w:r>
      <w:r>
        <w:rPr>
          <w:rFonts w:hint="eastAsia"/>
          <w:sz w:val="20"/>
          <w:szCs w:val="20"/>
        </w:rPr>
        <w:t>[2].</w:t>
      </w:r>
      <w:r w:rsidR="00B15D97">
        <w:rPr>
          <w:sz w:val="20"/>
          <w:szCs w:val="20"/>
        </w:rPr>
        <w:t xml:space="preserve"> W</w:t>
      </w:r>
      <w:r>
        <w:rPr>
          <w:rFonts w:hint="eastAsia"/>
          <w:sz w:val="20"/>
          <w:szCs w:val="20"/>
        </w:rPr>
        <w:t xml:space="preserve">hether it is necessary to define new RLM-RS configuration mechanism for the two case should be discussed further.  </w:t>
      </w:r>
    </w:p>
    <w:p w:rsidR="00B16EA9" w:rsidRDefault="00054A3B">
      <w:pPr>
        <w:adjustRightInd/>
        <w:snapToGrid w:val="0"/>
        <w:spacing w:after="120"/>
        <w:jc w:val="both"/>
        <w:rPr>
          <w:sz w:val="20"/>
          <w:szCs w:val="20"/>
        </w:rPr>
      </w:pPr>
      <w:r>
        <w:rPr>
          <w:rFonts w:hint="eastAsia"/>
          <w:sz w:val="20"/>
          <w:szCs w:val="20"/>
        </w:rPr>
        <w:t xml:space="preserve">Case 1: </w:t>
      </w:r>
      <w:bookmarkStart w:id="6" w:name="OLE_LINK4"/>
      <w:r>
        <w:rPr>
          <w:rFonts w:hint="eastAsia"/>
          <w:sz w:val="20"/>
          <w:szCs w:val="20"/>
        </w:rPr>
        <w:t xml:space="preserve">UE is not configured with RRC signaling </w:t>
      </w:r>
      <w:r>
        <w:rPr>
          <w:rFonts w:hint="eastAsia"/>
          <w:i/>
          <w:iCs/>
          <w:sz w:val="20"/>
          <w:szCs w:val="20"/>
        </w:rPr>
        <w:t xml:space="preserve">RadioLinkMonitoringRS </w:t>
      </w:r>
      <w:r>
        <w:rPr>
          <w:rFonts w:hint="eastAsia"/>
          <w:sz w:val="20"/>
          <w:szCs w:val="20"/>
        </w:rPr>
        <w:t>and only configured with CORESET 0.</w:t>
      </w:r>
      <w:bookmarkEnd w:id="6"/>
      <w:r>
        <w:rPr>
          <w:rFonts w:hint="eastAsia"/>
          <w:sz w:val="20"/>
          <w:szCs w:val="20"/>
        </w:rPr>
        <w:t xml:space="preserve"> UE can not get RLM-RS configuration because CORESET 0 does not have TCI-state in some case.   </w:t>
      </w:r>
    </w:p>
    <w:p w:rsidR="00B16EA9" w:rsidRDefault="00054A3B">
      <w:pPr>
        <w:adjustRightInd/>
        <w:snapToGrid w:val="0"/>
        <w:spacing w:after="120"/>
        <w:jc w:val="both"/>
        <w:rPr>
          <w:sz w:val="20"/>
          <w:szCs w:val="20"/>
        </w:rPr>
      </w:pPr>
      <w:r>
        <w:rPr>
          <w:rFonts w:hint="eastAsia"/>
          <w:sz w:val="20"/>
          <w:szCs w:val="20"/>
        </w:rPr>
        <w:t xml:space="preserve">Case 2: UE is not configured with RRC signaling </w:t>
      </w:r>
      <w:r>
        <w:rPr>
          <w:rFonts w:hint="eastAsia"/>
          <w:i/>
          <w:iCs/>
          <w:sz w:val="20"/>
          <w:szCs w:val="20"/>
        </w:rPr>
        <w:t xml:space="preserve">RadioLinkMonitoringRS </w:t>
      </w:r>
      <w:r>
        <w:rPr>
          <w:rFonts w:hint="eastAsia"/>
          <w:sz w:val="20"/>
          <w:szCs w:val="20"/>
        </w:rPr>
        <w:t xml:space="preserve">and the CORESET configuration does not have TCI state because </w:t>
      </w:r>
      <w:bookmarkStart w:id="7" w:name="OLE_LINK5"/>
      <w:r>
        <w:rPr>
          <w:rFonts w:hint="eastAsia"/>
          <w:i/>
          <w:iCs/>
          <w:sz w:val="20"/>
          <w:szCs w:val="20"/>
        </w:rPr>
        <w:t>tci-StatesPDCCH-ToAddList</w:t>
      </w:r>
      <w:bookmarkEnd w:id="7"/>
      <w:r>
        <w:rPr>
          <w:rFonts w:hint="eastAsia"/>
          <w:sz w:val="20"/>
          <w:szCs w:val="20"/>
        </w:rPr>
        <w:t xml:space="preserve"> in </w:t>
      </w:r>
      <w:r>
        <w:rPr>
          <w:rFonts w:hint="eastAsia"/>
          <w:i/>
          <w:iCs/>
          <w:sz w:val="20"/>
          <w:szCs w:val="20"/>
        </w:rPr>
        <w:t xml:space="preserve">ControlResourceSet </w:t>
      </w:r>
      <w:r>
        <w:rPr>
          <w:rFonts w:hint="eastAsia"/>
          <w:sz w:val="20"/>
          <w:szCs w:val="20"/>
        </w:rPr>
        <w:t xml:space="preserve">is optional.  </w:t>
      </w:r>
    </w:p>
    <w:p w:rsidR="00B16EA9" w:rsidRDefault="00054A3B">
      <w:pPr>
        <w:adjustRightInd/>
        <w:snapToGrid w:val="0"/>
        <w:spacing w:after="120"/>
        <w:jc w:val="both"/>
        <w:rPr>
          <w:sz w:val="20"/>
          <w:szCs w:val="20"/>
        </w:rPr>
      </w:pPr>
      <w:r>
        <w:rPr>
          <w:rFonts w:hint="eastAsia"/>
          <w:sz w:val="20"/>
          <w:szCs w:val="20"/>
        </w:rPr>
        <w:t xml:space="preserve">For case 1, there are two conditions that UE is configured with only CORESET 0 and not configured with </w:t>
      </w:r>
      <w:r>
        <w:rPr>
          <w:rFonts w:hint="eastAsia"/>
          <w:i/>
          <w:iCs/>
          <w:sz w:val="20"/>
          <w:szCs w:val="20"/>
        </w:rPr>
        <w:t>RadioLinkMonitoringRS</w:t>
      </w:r>
      <w:r>
        <w:rPr>
          <w:rFonts w:hint="eastAsia"/>
          <w:sz w:val="20"/>
          <w:szCs w:val="20"/>
        </w:rPr>
        <w:t xml:space="preserve">. One is in random access procedure, UE receive system information and other configuration information through CORESET 0 without TCI-state. In this case, UE </w:t>
      </w:r>
      <w:r w:rsidR="00FB44E3">
        <w:rPr>
          <w:sz w:val="20"/>
          <w:szCs w:val="20"/>
        </w:rPr>
        <w:t>can’t get</w:t>
      </w:r>
      <w:r>
        <w:rPr>
          <w:rFonts w:hint="eastAsia"/>
          <w:sz w:val="20"/>
          <w:szCs w:val="20"/>
        </w:rPr>
        <w:t xml:space="preserve"> some essential parameters from network for RLM, e.g. N310, N311, T310. There is no need to perform RLM and define </w:t>
      </w:r>
      <w:r w:rsidR="00FB44E3">
        <w:rPr>
          <w:sz w:val="20"/>
          <w:szCs w:val="20"/>
        </w:rPr>
        <w:t xml:space="preserve">the </w:t>
      </w:r>
      <w:r>
        <w:rPr>
          <w:rFonts w:hint="eastAsia"/>
          <w:sz w:val="20"/>
          <w:szCs w:val="20"/>
        </w:rPr>
        <w:t xml:space="preserve">RLM-RS for the special condition. The other </w:t>
      </w:r>
      <w:r w:rsidR="00FB44E3">
        <w:rPr>
          <w:sz w:val="20"/>
          <w:szCs w:val="20"/>
        </w:rPr>
        <w:t xml:space="preserve">condition </w:t>
      </w:r>
      <w:r>
        <w:rPr>
          <w:rFonts w:hint="eastAsia"/>
          <w:sz w:val="20"/>
          <w:szCs w:val="20"/>
        </w:rPr>
        <w:t xml:space="preserve">is that only CORESET 0 is configured for UE to receive data from network. It was agreed that MAC CE can be used to indicate TCI state for CORESET 0 </w:t>
      </w:r>
      <w:r w:rsidR="00F67625">
        <w:rPr>
          <w:sz w:val="20"/>
          <w:szCs w:val="20"/>
        </w:rPr>
        <w:t>in</w:t>
      </w:r>
      <w:r>
        <w:rPr>
          <w:rFonts w:hint="eastAsia"/>
          <w:sz w:val="20"/>
          <w:szCs w:val="20"/>
        </w:rPr>
        <w:t xml:space="preserve"> last meeting. According to current mechanism, UE can get RLM-RS configuration implicitly. There is no need to define RLM-RS for the special condition as well. </w:t>
      </w:r>
    </w:p>
    <w:p w:rsidR="00B16EA9" w:rsidRDefault="00054A3B">
      <w:pPr>
        <w:adjustRightInd/>
        <w:snapToGrid w:val="0"/>
        <w:spacing w:after="120"/>
        <w:jc w:val="both"/>
        <w:rPr>
          <w:sz w:val="20"/>
          <w:szCs w:val="20"/>
        </w:rPr>
      </w:pPr>
      <w:r>
        <w:rPr>
          <w:rFonts w:hint="eastAsia"/>
          <w:sz w:val="20"/>
          <w:szCs w:val="20"/>
        </w:rPr>
        <w:t xml:space="preserve">For case 2, TCI state is an important parameter for UE to receive DL signal in NR. The purpose that  </w:t>
      </w:r>
      <w:r>
        <w:rPr>
          <w:rFonts w:hint="eastAsia"/>
          <w:i/>
          <w:iCs/>
          <w:sz w:val="20"/>
          <w:szCs w:val="20"/>
        </w:rPr>
        <w:t>tci-StatesPDCCH-ToAddList</w:t>
      </w:r>
      <w:r>
        <w:rPr>
          <w:rFonts w:hint="eastAsia"/>
          <w:sz w:val="20"/>
          <w:szCs w:val="20"/>
        </w:rPr>
        <w:t xml:space="preserve"> is set as optional by RAN2 is to provided more flexibility for RRC signaling. It is very likely that network may configure TCI state in CORESET configuration to UE. Similarly, UE can get RLM-RS configuration implicitly and there is no need to define RLM-RS for </w:t>
      </w:r>
      <w:r w:rsidR="00FB44E3">
        <w:rPr>
          <w:sz w:val="20"/>
          <w:szCs w:val="20"/>
        </w:rPr>
        <w:t xml:space="preserve">the </w:t>
      </w:r>
      <w:r>
        <w:rPr>
          <w:rFonts w:hint="eastAsia"/>
          <w:sz w:val="20"/>
          <w:szCs w:val="20"/>
        </w:rPr>
        <w:t xml:space="preserve">case two. </w:t>
      </w:r>
    </w:p>
    <w:p w:rsidR="00B16EA9" w:rsidRDefault="00054A3B">
      <w:pPr>
        <w:adjustRightInd/>
        <w:snapToGrid w:val="0"/>
        <w:spacing w:after="120"/>
        <w:jc w:val="both"/>
        <w:rPr>
          <w:sz w:val="20"/>
          <w:szCs w:val="20"/>
        </w:rPr>
      </w:pPr>
      <w:r>
        <w:rPr>
          <w:rFonts w:hint="eastAsia"/>
          <w:b/>
          <w:i/>
          <w:sz w:val="20"/>
          <w:szCs w:val="20"/>
        </w:rPr>
        <w:t xml:space="preserve">Proposal 2: There should be no need to define new RLM-RS configuration mechanism. </w:t>
      </w:r>
    </w:p>
    <w:p w:rsidR="00B16EA9" w:rsidRDefault="00054A3B">
      <w:pPr>
        <w:pStyle w:val="1"/>
      </w:pPr>
      <w:r>
        <w:rPr>
          <w:rFonts w:hint="eastAsia"/>
          <w:lang w:eastAsia="zh-CN"/>
        </w:rPr>
        <w:t>Conclusions</w:t>
      </w:r>
    </w:p>
    <w:p w:rsidR="00B16EA9" w:rsidRDefault="00054A3B">
      <w:pPr>
        <w:adjustRightInd/>
        <w:snapToGrid w:val="0"/>
        <w:spacing w:after="120"/>
        <w:jc w:val="both"/>
        <w:rPr>
          <w:rFonts w:cs="Arial"/>
          <w:sz w:val="20"/>
          <w:szCs w:val="20"/>
        </w:rPr>
      </w:pPr>
      <w:r>
        <w:rPr>
          <w:rFonts w:cs="Arial"/>
          <w:sz w:val="20"/>
          <w:szCs w:val="20"/>
        </w:rPr>
        <w:t>I</w:t>
      </w:r>
      <w:r>
        <w:rPr>
          <w:rFonts w:cs="Arial" w:hint="eastAsia"/>
          <w:sz w:val="20"/>
          <w:szCs w:val="20"/>
        </w:rPr>
        <w:t xml:space="preserve">n this </w:t>
      </w:r>
      <w:r>
        <w:rPr>
          <w:rFonts w:cs="Arial"/>
          <w:sz w:val="20"/>
          <w:szCs w:val="20"/>
        </w:rPr>
        <w:t>contribution</w:t>
      </w:r>
      <w:r>
        <w:rPr>
          <w:rFonts w:cs="Arial" w:hint="eastAsia"/>
          <w:sz w:val="20"/>
          <w:szCs w:val="20"/>
        </w:rPr>
        <w:t>, NR mobility issues are discussed and we have following proposals:</w:t>
      </w:r>
    </w:p>
    <w:p w:rsidR="00B16EA9" w:rsidRDefault="00054A3B">
      <w:pPr>
        <w:adjustRightInd/>
        <w:snapToGrid w:val="0"/>
        <w:spacing w:after="120"/>
        <w:jc w:val="both"/>
        <w:rPr>
          <w:b/>
          <w:i/>
          <w:sz w:val="20"/>
          <w:szCs w:val="20"/>
        </w:rPr>
      </w:pPr>
      <w:r>
        <w:rPr>
          <w:rFonts w:hint="eastAsia"/>
          <w:b/>
          <w:i/>
          <w:sz w:val="20"/>
          <w:szCs w:val="20"/>
        </w:rPr>
        <w:t xml:space="preserve">Proposal 1: To align with agreement and avoid </w:t>
      </w:r>
      <w:r w:rsidR="0097126E">
        <w:rPr>
          <w:b/>
          <w:i/>
          <w:sz w:val="20"/>
          <w:szCs w:val="20"/>
        </w:rPr>
        <w:t xml:space="preserve">incorrect </w:t>
      </w:r>
      <w:r>
        <w:rPr>
          <w:rFonts w:hint="eastAsia"/>
          <w:b/>
          <w:i/>
          <w:sz w:val="20"/>
          <w:szCs w:val="20"/>
        </w:rPr>
        <w:t xml:space="preserve">understanding, a </w:t>
      </w:r>
      <w:r w:rsidR="0097126E">
        <w:rPr>
          <w:b/>
          <w:i/>
          <w:sz w:val="20"/>
          <w:szCs w:val="20"/>
        </w:rPr>
        <w:t xml:space="preserve">draft </w:t>
      </w:r>
      <w:r>
        <w:rPr>
          <w:rFonts w:hint="eastAsia"/>
          <w:b/>
          <w:i/>
          <w:sz w:val="20"/>
          <w:szCs w:val="20"/>
        </w:rPr>
        <w:t xml:space="preserve">CR </w:t>
      </w:r>
      <w:r w:rsidR="0097126E">
        <w:rPr>
          <w:b/>
          <w:i/>
          <w:sz w:val="20"/>
          <w:szCs w:val="20"/>
        </w:rPr>
        <w:t>to</w:t>
      </w:r>
      <w:r>
        <w:rPr>
          <w:rFonts w:hint="eastAsia"/>
          <w:b/>
          <w:i/>
          <w:sz w:val="20"/>
          <w:szCs w:val="20"/>
        </w:rPr>
        <w:t xml:space="preserve"> TS 38.213 is proposed.</w:t>
      </w:r>
    </w:p>
    <w:p w:rsidR="00B16EA9" w:rsidRDefault="00054A3B">
      <w:pPr>
        <w:adjustRightInd/>
        <w:snapToGrid w:val="0"/>
        <w:spacing w:after="120"/>
        <w:jc w:val="both"/>
        <w:rPr>
          <w:b/>
          <w:i/>
          <w:sz w:val="20"/>
          <w:szCs w:val="20"/>
        </w:rPr>
      </w:pPr>
      <w:r>
        <w:rPr>
          <w:rFonts w:hint="eastAsia"/>
          <w:b/>
          <w:i/>
          <w:sz w:val="20"/>
          <w:szCs w:val="20"/>
        </w:rPr>
        <w:t>Proposal 2: There should be no need to define new RLM-RS configuration mechanism.</w:t>
      </w:r>
    </w:p>
    <w:p w:rsidR="00B16EA9" w:rsidRDefault="00054A3B">
      <w:pPr>
        <w:pStyle w:val="1"/>
        <w:numPr>
          <w:ilvl w:val="0"/>
          <w:numId w:val="0"/>
        </w:numPr>
        <w:ind w:left="432" w:hanging="432"/>
        <w:rPr>
          <w:lang w:eastAsia="zh-CN"/>
        </w:rPr>
      </w:pPr>
      <w:r>
        <w:rPr>
          <w:lang w:eastAsia="zh-CN"/>
        </w:rPr>
        <w:t>References</w:t>
      </w:r>
    </w:p>
    <w:p w:rsidR="00EB3FA0" w:rsidRPr="00EB3FA0" w:rsidRDefault="004A0046" w:rsidP="00EB3FA0">
      <w:pPr>
        <w:pStyle w:val="10"/>
        <w:numPr>
          <w:ilvl w:val="0"/>
          <w:numId w:val="2"/>
        </w:numPr>
        <w:ind w:left="426" w:firstLineChars="0"/>
        <w:jc w:val="both"/>
        <w:rPr>
          <w:iCs/>
          <w:sz w:val="20"/>
          <w:szCs w:val="20"/>
        </w:rPr>
      </w:pPr>
      <w:r w:rsidRPr="005824C6">
        <w:rPr>
          <w:rFonts w:hint="eastAsia"/>
          <w:iCs/>
          <w:sz w:val="20"/>
          <w:szCs w:val="20"/>
        </w:rPr>
        <w:t>R1-181209</w:t>
      </w:r>
      <w:r w:rsidR="00EB3FA0">
        <w:rPr>
          <w:iCs/>
          <w:sz w:val="20"/>
          <w:szCs w:val="20"/>
        </w:rPr>
        <w:t>3</w:t>
      </w:r>
      <w:r w:rsidR="005824C6" w:rsidRPr="005824C6">
        <w:rPr>
          <w:iCs/>
          <w:sz w:val="20"/>
          <w:szCs w:val="20"/>
        </w:rPr>
        <w:t xml:space="preserve"> </w:t>
      </w:r>
      <w:r w:rsidR="00EB3FA0" w:rsidRPr="00EB3FA0">
        <w:rPr>
          <w:iCs/>
          <w:sz w:val="20"/>
          <w:szCs w:val="20"/>
        </w:rPr>
        <w:t>CR to 38.214 capturing the RAN1#94bis meeting agreements</w:t>
      </w:r>
      <w:r w:rsidR="00EB3FA0">
        <w:rPr>
          <w:iCs/>
          <w:sz w:val="20"/>
          <w:szCs w:val="20"/>
        </w:rPr>
        <w:t>, Nokia</w:t>
      </w:r>
    </w:p>
    <w:p w:rsidR="00B16EA9" w:rsidRDefault="005824C6">
      <w:pPr>
        <w:pStyle w:val="10"/>
        <w:numPr>
          <w:ilvl w:val="0"/>
          <w:numId w:val="2"/>
        </w:numPr>
        <w:ind w:left="426" w:firstLineChars="0"/>
        <w:jc w:val="both"/>
      </w:pPr>
      <w:r>
        <w:rPr>
          <w:rFonts w:hint="eastAsia"/>
          <w:iCs/>
          <w:sz w:val="20"/>
          <w:szCs w:val="20"/>
        </w:rPr>
        <w:t>R1</w:t>
      </w:r>
      <w:r w:rsidR="00054A3B">
        <w:rPr>
          <w:rFonts w:hint="eastAsia"/>
          <w:iCs/>
          <w:sz w:val="20"/>
          <w:szCs w:val="20"/>
        </w:rPr>
        <w:t>-1812033 Summary of Offline Discussions for Rel-15 NR mobility</w:t>
      </w:r>
      <w:r>
        <w:rPr>
          <w:iCs/>
          <w:sz w:val="20"/>
          <w:szCs w:val="20"/>
        </w:rPr>
        <w:t>, Intel</w:t>
      </w:r>
    </w:p>
    <w:p w:rsidR="00B16EA9" w:rsidRDefault="00B16EA9"/>
    <w:sectPr w:rsidR="00B16EA9">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43A" w:rsidRDefault="00054A3B">
      <w:pPr>
        <w:spacing w:line="240" w:lineRule="auto"/>
      </w:pPr>
      <w:r>
        <w:separator/>
      </w:r>
    </w:p>
  </w:endnote>
  <w:endnote w:type="continuationSeparator" w:id="0">
    <w:p w:rsidR="00A5043A" w:rsidRDefault="00054A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A9" w:rsidRDefault="00054A3B">
    <w:pPr>
      <w:pStyle w:val="a7"/>
      <w:framePr w:wrap="around" w:vAnchor="text" w:hAnchor="margin" w:xAlign="right" w:y="1"/>
      <w:rPr>
        <w:rStyle w:val="aa"/>
      </w:rPr>
    </w:pPr>
    <w:r>
      <w:fldChar w:fldCharType="begin"/>
    </w:r>
    <w:r>
      <w:rPr>
        <w:rStyle w:val="aa"/>
      </w:rPr>
      <w:instrText xml:space="preserve">PAGE  </w:instrText>
    </w:r>
    <w:r>
      <w:fldChar w:fldCharType="end"/>
    </w:r>
  </w:p>
  <w:p w:rsidR="00B16EA9" w:rsidRDefault="00B16EA9">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A9" w:rsidRDefault="00054A3B">
    <w:pPr>
      <w:pStyle w:val="a7"/>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43A" w:rsidRDefault="00054A3B">
      <w:pPr>
        <w:spacing w:line="240" w:lineRule="auto"/>
      </w:pPr>
      <w:r>
        <w:separator/>
      </w:r>
    </w:p>
  </w:footnote>
  <w:footnote w:type="continuationSeparator" w:id="0">
    <w:p w:rsidR="00A5043A" w:rsidRDefault="00054A3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EA9" w:rsidRDefault="00B16EA9">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6C78E2"/>
    <w:multiLevelType w:val="multilevel"/>
    <w:tmpl w:val="156C78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BF2506"/>
    <w:rsid w:val="000423F3"/>
    <w:rsid w:val="00054A3B"/>
    <w:rsid w:val="00055513"/>
    <w:rsid w:val="000634A0"/>
    <w:rsid w:val="00086B7C"/>
    <w:rsid w:val="000941B9"/>
    <w:rsid w:val="000A15EE"/>
    <w:rsid w:val="00147B32"/>
    <w:rsid w:val="002011B2"/>
    <w:rsid w:val="00213BC9"/>
    <w:rsid w:val="002302C4"/>
    <w:rsid w:val="00255D5D"/>
    <w:rsid w:val="002B673D"/>
    <w:rsid w:val="002C227A"/>
    <w:rsid w:val="002E4E7D"/>
    <w:rsid w:val="002F3D88"/>
    <w:rsid w:val="003163AC"/>
    <w:rsid w:val="00365059"/>
    <w:rsid w:val="00384041"/>
    <w:rsid w:val="0038540C"/>
    <w:rsid w:val="003A4C52"/>
    <w:rsid w:val="003B6321"/>
    <w:rsid w:val="003D572D"/>
    <w:rsid w:val="003D66D5"/>
    <w:rsid w:val="003D7F19"/>
    <w:rsid w:val="003E1106"/>
    <w:rsid w:val="00405A98"/>
    <w:rsid w:val="004214E2"/>
    <w:rsid w:val="00447867"/>
    <w:rsid w:val="00455FFA"/>
    <w:rsid w:val="004649B8"/>
    <w:rsid w:val="004836CE"/>
    <w:rsid w:val="00484F5F"/>
    <w:rsid w:val="004864FF"/>
    <w:rsid w:val="00490C5D"/>
    <w:rsid w:val="00491565"/>
    <w:rsid w:val="004A0046"/>
    <w:rsid w:val="004F534A"/>
    <w:rsid w:val="005227EF"/>
    <w:rsid w:val="00567880"/>
    <w:rsid w:val="005824C6"/>
    <w:rsid w:val="00584364"/>
    <w:rsid w:val="00592C86"/>
    <w:rsid w:val="005A55F3"/>
    <w:rsid w:val="005C0A03"/>
    <w:rsid w:val="005C2573"/>
    <w:rsid w:val="00654DD4"/>
    <w:rsid w:val="00657786"/>
    <w:rsid w:val="00657CE6"/>
    <w:rsid w:val="006656D7"/>
    <w:rsid w:val="006757CE"/>
    <w:rsid w:val="00693CEA"/>
    <w:rsid w:val="006B12BF"/>
    <w:rsid w:val="00763977"/>
    <w:rsid w:val="00767949"/>
    <w:rsid w:val="007709FF"/>
    <w:rsid w:val="007A111B"/>
    <w:rsid w:val="007C6C3C"/>
    <w:rsid w:val="007F5900"/>
    <w:rsid w:val="00820D72"/>
    <w:rsid w:val="008334E6"/>
    <w:rsid w:val="008434F5"/>
    <w:rsid w:val="00851A26"/>
    <w:rsid w:val="00887D85"/>
    <w:rsid w:val="008951DF"/>
    <w:rsid w:val="008A2682"/>
    <w:rsid w:val="008B2B31"/>
    <w:rsid w:val="008B5A88"/>
    <w:rsid w:val="008C61BC"/>
    <w:rsid w:val="009227C7"/>
    <w:rsid w:val="00930B0D"/>
    <w:rsid w:val="0097126E"/>
    <w:rsid w:val="00977F66"/>
    <w:rsid w:val="00997278"/>
    <w:rsid w:val="009A3168"/>
    <w:rsid w:val="009A433A"/>
    <w:rsid w:val="009B0D42"/>
    <w:rsid w:val="009D70A5"/>
    <w:rsid w:val="009E0E78"/>
    <w:rsid w:val="009E1517"/>
    <w:rsid w:val="009E31CA"/>
    <w:rsid w:val="00A25FF1"/>
    <w:rsid w:val="00A3282C"/>
    <w:rsid w:val="00A5043A"/>
    <w:rsid w:val="00A7038B"/>
    <w:rsid w:val="00A70A8A"/>
    <w:rsid w:val="00A90F4E"/>
    <w:rsid w:val="00AF1B66"/>
    <w:rsid w:val="00B0175B"/>
    <w:rsid w:val="00B15D97"/>
    <w:rsid w:val="00B16EA9"/>
    <w:rsid w:val="00B3338E"/>
    <w:rsid w:val="00B35707"/>
    <w:rsid w:val="00B85AC8"/>
    <w:rsid w:val="00B95AF4"/>
    <w:rsid w:val="00BD38F2"/>
    <w:rsid w:val="00BF2506"/>
    <w:rsid w:val="00C00D37"/>
    <w:rsid w:val="00C139E7"/>
    <w:rsid w:val="00C416B0"/>
    <w:rsid w:val="00C66C5A"/>
    <w:rsid w:val="00C7085B"/>
    <w:rsid w:val="00C709EE"/>
    <w:rsid w:val="00C85864"/>
    <w:rsid w:val="00CF6D7E"/>
    <w:rsid w:val="00D4639E"/>
    <w:rsid w:val="00D76B57"/>
    <w:rsid w:val="00D8342E"/>
    <w:rsid w:val="00D84F0E"/>
    <w:rsid w:val="00D96FF8"/>
    <w:rsid w:val="00DB62C6"/>
    <w:rsid w:val="00E15C02"/>
    <w:rsid w:val="00E24F46"/>
    <w:rsid w:val="00E54F09"/>
    <w:rsid w:val="00E66664"/>
    <w:rsid w:val="00E85758"/>
    <w:rsid w:val="00E94472"/>
    <w:rsid w:val="00E953A3"/>
    <w:rsid w:val="00EA007B"/>
    <w:rsid w:val="00EB2770"/>
    <w:rsid w:val="00EB2B65"/>
    <w:rsid w:val="00EB3FA0"/>
    <w:rsid w:val="00ED2C07"/>
    <w:rsid w:val="00EE5427"/>
    <w:rsid w:val="00F429E0"/>
    <w:rsid w:val="00F67625"/>
    <w:rsid w:val="00F726CD"/>
    <w:rsid w:val="00FB44E3"/>
    <w:rsid w:val="00FF2167"/>
    <w:rsid w:val="033F1CE0"/>
    <w:rsid w:val="036D4901"/>
    <w:rsid w:val="041816E2"/>
    <w:rsid w:val="04241E25"/>
    <w:rsid w:val="04513D5D"/>
    <w:rsid w:val="04AE7DB4"/>
    <w:rsid w:val="04B8516A"/>
    <w:rsid w:val="05A87EE6"/>
    <w:rsid w:val="077F3A70"/>
    <w:rsid w:val="0B16565D"/>
    <w:rsid w:val="0C3261E4"/>
    <w:rsid w:val="0CBB51C6"/>
    <w:rsid w:val="0D721E13"/>
    <w:rsid w:val="0FBB33E8"/>
    <w:rsid w:val="10856A34"/>
    <w:rsid w:val="127E321B"/>
    <w:rsid w:val="137163FB"/>
    <w:rsid w:val="15FB2E5F"/>
    <w:rsid w:val="169E123C"/>
    <w:rsid w:val="17A64452"/>
    <w:rsid w:val="1823280B"/>
    <w:rsid w:val="1B0B4091"/>
    <w:rsid w:val="1BA76986"/>
    <w:rsid w:val="1C701DCF"/>
    <w:rsid w:val="1DB949D2"/>
    <w:rsid w:val="209E70F2"/>
    <w:rsid w:val="20F47F09"/>
    <w:rsid w:val="21233C2A"/>
    <w:rsid w:val="213660C8"/>
    <w:rsid w:val="21753B79"/>
    <w:rsid w:val="21D47BD2"/>
    <w:rsid w:val="22720E71"/>
    <w:rsid w:val="24133555"/>
    <w:rsid w:val="24511954"/>
    <w:rsid w:val="27237556"/>
    <w:rsid w:val="2961326D"/>
    <w:rsid w:val="2BE47D99"/>
    <w:rsid w:val="2BE64936"/>
    <w:rsid w:val="2CA17AFD"/>
    <w:rsid w:val="2D1501C8"/>
    <w:rsid w:val="2DB91B1B"/>
    <w:rsid w:val="2DE57538"/>
    <w:rsid w:val="2E2774F3"/>
    <w:rsid w:val="2EBB3E8E"/>
    <w:rsid w:val="2F0F66CB"/>
    <w:rsid w:val="2FAA7008"/>
    <w:rsid w:val="301A45CB"/>
    <w:rsid w:val="32213C6E"/>
    <w:rsid w:val="32941BCD"/>
    <w:rsid w:val="33070B6F"/>
    <w:rsid w:val="33E03CFB"/>
    <w:rsid w:val="33EE30C3"/>
    <w:rsid w:val="358B445B"/>
    <w:rsid w:val="36E32288"/>
    <w:rsid w:val="372E2E2E"/>
    <w:rsid w:val="3C901943"/>
    <w:rsid w:val="3CAB3AFE"/>
    <w:rsid w:val="3DE91276"/>
    <w:rsid w:val="3FD85E23"/>
    <w:rsid w:val="42134E28"/>
    <w:rsid w:val="42C310F4"/>
    <w:rsid w:val="432B13A1"/>
    <w:rsid w:val="43AC2E50"/>
    <w:rsid w:val="45AA37EF"/>
    <w:rsid w:val="46260526"/>
    <w:rsid w:val="47043622"/>
    <w:rsid w:val="470E18BD"/>
    <w:rsid w:val="475E315E"/>
    <w:rsid w:val="47776BE6"/>
    <w:rsid w:val="47FD59B9"/>
    <w:rsid w:val="4B361573"/>
    <w:rsid w:val="4C4B623C"/>
    <w:rsid w:val="4CC86A85"/>
    <w:rsid w:val="4F537376"/>
    <w:rsid w:val="4FDE6B31"/>
    <w:rsid w:val="4FE50545"/>
    <w:rsid w:val="50E82299"/>
    <w:rsid w:val="518A45EE"/>
    <w:rsid w:val="51BE0346"/>
    <w:rsid w:val="522E2B7E"/>
    <w:rsid w:val="528D5E25"/>
    <w:rsid w:val="53310B76"/>
    <w:rsid w:val="539601B8"/>
    <w:rsid w:val="54A70EDF"/>
    <w:rsid w:val="54FB1C7B"/>
    <w:rsid w:val="5919085F"/>
    <w:rsid w:val="59710F36"/>
    <w:rsid w:val="5AA309A5"/>
    <w:rsid w:val="5C347EB7"/>
    <w:rsid w:val="5CAF0737"/>
    <w:rsid w:val="5CCA2604"/>
    <w:rsid w:val="609E1F6D"/>
    <w:rsid w:val="60EC7E34"/>
    <w:rsid w:val="60F86588"/>
    <w:rsid w:val="610E751A"/>
    <w:rsid w:val="618738C4"/>
    <w:rsid w:val="62100AA6"/>
    <w:rsid w:val="62104607"/>
    <w:rsid w:val="667D3E75"/>
    <w:rsid w:val="66AB08C9"/>
    <w:rsid w:val="66DB2329"/>
    <w:rsid w:val="66E8264C"/>
    <w:rsid w:val="66F943E3"/>
    <w:rsid w:val="67072E0D"/>
    <w:rsid w:val="682A3765"/>
    <w:rsid w:val="68D1095B"/>
    <w:rsid w:val="694F264B"/>
    <w:rsid w:val="69B779C6"/>
    <w:rsid w:val="6A9F32EC"/>
    <w:rsid w:val="6B73264D"/>
    <w:rsid w:val="6D471048"/>
    <w:rsid w:val="6DCD14F3"/>
    <w:rsid w:val="71D2623A"/>
    <w:rsid w:val="72401C71"/>
    <w:rsid w:val="72F40E3D"/>
    <w:rsid w:val="731E414C"/>
    <w:rsid w:val="766775EF"/>
    <w:rsid w:val="778778D9"/>
    <w:rsid w:val="78AA5D42"/>
    <w:rsid w:val="7A28673C"/>
    <w:rsid w:val="7BCB5A12"/>
    <w:rsid w:val="7BF61FAB"/>
    <w:rsid w:val="7DBF6C53"/>
    <w:rsid w:val="7DF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4DDCCE-8BF2-43A8-A7C7-772448671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pacing w:line="300" w:lineRule="auto"/>
    </w:pPr>
    <w:rPr>
      <w:rFonts w:eastAsia="宋体"/>
      <w:sz w:val="21"/>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宋体" w:hAnsi="Arial"/>
      <w:sz w:val="36"/>
      <w:szCs w:val="22"/>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djustRightInd/>
      <w:spacing w:before="120" w:after="120" w:line="240" w:lineRule="auto"/>
    </w:pPr>
    <w:rPr>
      <w:b/>
      <w:szCs w:val="20"/>
      <w:lang w:val="en-GB" w:eastAsia="en-US"/>
    </w:rPr>
  </w:style>
  <w:style w:type="paragraph" w:styleId="a4">
    <w:name w:val="Document Map"/>
    <w:basedOn w:val="a"/>
    <w:link w:val="Char"/>
    <w:uiPriority w:val="99"/>
    <w:unhideWhenUsed/>
    <w:qFormat/>
    <w:rPr>
      <w:rFonts w:ascii="宋体"/>
      <w:sz w:val="18"/>
      <w:szCs w:val="18"/>
    </w:rPr>
  </w:style>
  <w:style w:type="paragraph" w:styleId="a5">
    <w:name w:val="annotation text"/>
    <w:basedOn w:val="a"/>
    <w:uiPriority w:val="99"/>
    <w:unhideWhenUsed/>
    <w:qFormat/>
  </w:style>
  <w:style w:type="paragraph" w:styleId="a6">
    <w:name w:val="Balloon Text"/>
    <w:basedOn w:val="a"/>
    <w:link w:val="Char0"/>
    <w:uiPriority w:val="99"/>
    <w:unhideWhenUsed/>
    <w:qFormat/>
    <w:pPr>
      <w:spacing w:line="240" w:lineRule="auto"/>
    </w:pPr>
    <w:rPr>
      <w:sz w:val="18"/>
      <w:szCs w:val="18"/>
    </w:rPr>
  </w:style>
  <w:style w:type="paragraph" w:styleId="a7">
    <w:name w:val="footer"/>
    <w:basedOn w:val="a"/>
    <w:link w:val="Char1"/>
    <w:unhideWhenUsed/>
    <w:qFormat/>
    <w:pPr>
      <w:tabs>
        <w:tab w:val="center" w:pos="4153"/>
        <w:tab w:val="right" w:pos="8306"/>
      </w:tabs>
      <w:snapToGrid w:val="0"/>
    </w:pPr>
    <w:rPr>
      <w:sz w:val="18"/>
      <w:szCs w:val="18"/>
    </w:rPr>
  </w:style>
  <w:style w:type="paragraph" w:styleId="a8">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uiPriority w:val="99"/>
    <w:unhideWhenUsed/>
    <w:qFormat/>
    <w:pPr>
      <w:ind w:left="200" w:hangingChars="200" w:hanging="200"/>
      <w:contextualSpacing/>
    </w:pPr>
  </w:style>
  <w:style w:type="character" w:styleId="aa">
    <w:name w:val="page number"/>
    <w:basedOn w:val="a0"/>
    <w:qFormat/>
  </w:style>
  <w:style w:type="character" w:styleId="ab">
    <w:name w:val="annotation reference"/>
    <w:qFormat/>
    <w:rPr>
      <w:sz w:val="16"/>
      <w:szCs w:val="16"/>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页眉 Char"/>
    <w:basedOn w:val="a0"/>
    <w:link w:val="a8"/>
    <w:uiPriority w:val="99"/>
    <w:semiHidden/>
    <w:qFormat/>
    <w:rPr>
      <w:sz w:val="18"/>
      <w:szCs w:val="18"/>
    </w:rPr>
  </w:style>
  <w:style w:type="character" w:customStyle="1" w:styleId="Char1">
    <w:name w:val="页脚 Char"/>
    <w:basedOn w:val="a0"/>
    <w:link w:val="a7"/>
    <w:uiPriority w:val="99"/>
    <w:semiHidden/>
    <w:qFormat/>
    <w:rPr>
      <w:sz w:val="18"/>
      <w:szCs w:val="18"/>
    </w:rPr>
  </w:style>
  <w:style w:type="character" w:customStyle="1" w:styleId="1Char">
    <w:name w:val="标题 1 Char"/>
    <w:basedOn w:val="a0"/>
    <w:link w:val="1"/>
    <w:qFormat/>
    <w:rPr>
      <w:rFonts w:ascii="Arial" w:eastAsia="宋体" w:hAnsi="Arial" w:cs="Times New Roman"/>
      <w:kern w:val="0"/>
      <w:sz w:val="36"/>
      <w:lang w:val="en-GB" w:eastAsia="en-US"/>
    </w:rPr>
  </w:style>
  <w:style w:type="character" w:customStyle="1" w:styleId="2Char">
    <w:name w:val="标题 2 Char"/>
    <w:basedOn w:val="a0"/>
    <w:link w:val="2"/>
    <w:qFormat/>
    <w:rPr>
      <w:rFonts w:ascii="Arial" w:eastAsia="宋体" w:hAnsi="Arial" w:cs="Times New Roman"/>
      <w:kern w:val="0"/>
      <w:sz w:val="28"/>
      <w:lang w:val="en-GB" w:eastAsia="en-US"/>
    </w:rPr>
  </w:style>
  <w:style w:type="paragraph" w:customStyle="1" w:styleId="B1">
    <w:name w:val="B1"/>
    <w:basedOn w:val="a9"/>
    <w:qFormat/>
    <w:pPr>
      <w:ind w:left="568" w:firstLineChars="0" w:hanging="284"/>
      <w:contextualSpacing w:val="0"/>
    </w:pPr>
  </w:style>
  <w:style w:type="paragraph" w:customStyle="1" w:styleId="EQ">
    <w:name w:val="EQ"/>
    <w:basedOn w:val="a"/>
    <w:next w:val="a"/>
    <w:qFormat/>
    <w:pPr>
      <w:keepLines/>
      <w:tabs>
        <w:tab w:val="center" w:pos="4536"/>
        <w:tab w:val="right" w:pos="9072"/>
      </w:tabs>
    </w:pPr>
  </w:style>
  <w:style w:type="paragraph" w:customStyle="1" w:styleId="10">
    <w:name w:val="列出段落1"/>
    <w:basedOn w:val="a"/>
    <w:uiPriority w:val="99"/>
    <w:unhideWhenUsed/>
    <w:qFormat/>
    <w:pPr>
      <w:ind w:firstLineChars="200" w:firstLine="420"/>
    </w:pPr>
  </w:style>
  <w:style w:type="character" w:customStyle="1" w:styleId="Char">
    <w:name w:val="文档结构图 Char"/>
    <w:basedOn w:val="a0"/>
    <w:link w:val="a4"/>
    <w:uiPriority w:val="99"/>
    <w:semiHidden/>
    <w:qFormat/>
    <w:rPr>
      <w:rFonts w:ascii="宋体" w:eastAsia="宋体" w:hAnsi="Times New Roman" w:cs="Times New Roman"/>
      <w:kern w:val="0"/>
      <w:sz w:val="18"/>
      <w:szCs w:val="18"/>
    </w:rPr>
  </w:style>
  <w:style w:type="character" w:customStyle="1" w:styleId="Char0">
    <w:name w:val="批注框文本 Char"/>
    <w:basedOn w:val="a0"/>
    <w:link w:val="a6"/>
    <w:uiPriority w:val="99"/>
    <w:semiHidden/>
    <w:qFormat/>
    <w:rPr>
      <w:rFonts w:ascii="Times New Roman" w:eastAsia="宋体" w:hAnsi="Times New Roman" w:cs="Times New Roman"/>
      <w:kern w:val="0"/>
      <w:sz w:val="18"/>
      <w:szCs w:val="18"/>
    </w:rPr>
  </w:style>
  <w:style w:type="character" w:customStyle="1" w:styleId="11">
    <w:name w:val="占位符文本1"/>
    <w:basedOn w:val="a0"/>
    <w:uiPriority w:val="99"/>
    <w:semiHidden/>
    <w:qFormat/>
    <w:rPr>
      <w:color w:val="808080"/>
    </w:rPr>
  </w:style>
  <w:style w:type="paragraph" w:customStyle="1" w:styleId="20">
    <w:name w:val="列出段落2"/>
    <w:basedOn w:val="a"/>
    <w:uiPriority w:val="99"/>
    <w:unhideWhenUsed/>
    <w:qFormat/>
    <w:pPr>
      <w:ind w:firstLineChars="200" w:firstLine="420"/>
    </w:pPr>
  </w:style>
  <w:style w:type="paragraph" w:customStyle="1" w:styleId="110">
    <w:name w:val="列出段落11"/>
    <w:basedOn w:val="a"/>
    <w:uiPriority w:val="34"/>
    <w:qFormat/>
    <w:pPr>
      <w:ind w:firstLineChars="200" w:firstLine="420"/>
    </w:pPr>
  </w:style>
  <w:style w:type="paragraph" w:customStyle="1" w:styleId="YJ--">
    <w:name w:val="YJ--正文"/>
    <w:basedOn w:val="a"/>
    <w:qFormat/>
    <w:pPr>
      <w:spacing w:before="156" w:after="156"/>
      <w:ind w:firstLineChars="200" w:firstLine="602"/>
    </w:pPr>
    <w:rPr>
      <w:rFonts w:cs="宋体"/>
      <w:szCs w:val="20"/>
    </w:rPr>
  </w:style>
  <w:style w:type="paragraph" w:customStyle="1" w:styleId="3">
    <w:name w:val="列出段落3"/>
    <w:basedOn w:val="a"/>
    <w:uiPriority w:val="34"/>
    <w:qFormat/>
    <w:pPr>
      <w:ind w:leftChars="400" w:left="840"/>
    </w:pPr>
  </w:style>
  <w:style w:type="paragraph" w:customStyle="1" w:styleId="Style4">
    <w:name w:val="_Style 4"/>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393019">
      <w:bodyDiv w:val="1"/>
      <w:marLeft w:val="0"/>
      <w:marRight w:val="0"/>
      <w:marTop w:val="0"/>
      <w:marBottom w:val="0"/>
      <w:divBdr>
        <w:top w:val="none" w:sz="0" w:space="0" w:color="auto"/>
        <w:left w:val="none" w:sz="0" w:space="0" w:color="auto"/>
        <w:bottom w:val="none" w:sz="0" w:space="0" w:color="auto"/>
        <w:right w:val="none" w:sz="0" w:space="0" w:color="auto"/>
      </w:divBdr>
    </w:div>
    <w:div w:id="1681816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2</Pages>
  <Words>715</Words>
  <Characters>4081</Characters>
  <Application>Microsoft Office Word</Application>
  <DocSecurity>0</DocSecurity>
  <Lines>34</Lines>
  <Paragraphs>9</Paragraphs>
  <ScaleCrop>false</ScaleCrop>
  <Company>Microsoft</Company>
  <LinksUpToDate>false</LinksUpToDate>
  <CharactersWithSpaces>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张峻峰10005275</cp:lastModifiedBy>
  <cp:revision>16</cp:revision>
  <dcterms:created xsi:type="dcterms:W3CDTF">2018-09-27T07:58:00Z</dcterms:created>
  <dcterms:modified xsi:type="dcterms:W3CDTF">2018-11-02T02:56:00Z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